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43"/>
        <w:gridCol w:w="885"/>
        <w:gridCol w:w="905"/>
        <w:gridCol w:w="955"/>
        <w:gridCol w:w="957"/>
        <w:gridCol w:w="813"/>
        <w:gridCol w:w="532"/>
        <w:gridCol w:w="628"/>
        <w:gridCol w:w="869"/>
        <w:gridCol w:w="897"/>
        <w:gridCol w:w="1056"/>
        <w:gridCol w:w="1137"/>
        <w:gridCol w:w="1174"/>
        <w:gridCol w:w="955"/>
        <w:gridCol w:w="798"/>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B301AB">
        <w:trPr>
          <w:trHeight w:val="742"/>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2E3642" w:rsidTr="00AC020D">
        <w:trPr>
          <w:jc w:val="center"/>
        </w:trPr>
        <w:tc>
          <w:tcPr>
            <w:tcW w:w="375" w:type="dxa"/>
          </w:tcPr>
          <w:p w:rsidR="002E3642" w:rsidRPr="003B4AE2" w:rsidRDefault="002E3642" w:rsidP="002E3642">
            <w:pPr>
              <w:spacing w:before="120" w:after="120"/>
              <w:jc w:val="center"/>
              <w:rPr>
                <w:sz w:val="22"/>
                <w:szCs w:val="22"/>
              </w:rPr>
            </w:pPr>
          </w:p>
        </w:tc>
        <w:tc>
          <w:tcPr>
            <w:tcW w:w="570" w:type="dxa"/>
          </w:tcPr>
          <w:p w:rsidR="002E3642" w:rsidRPr="00B411BE" w:rsidRDefault="002E3642" w:rsidP="002E3642">
            <w:pPr>
              <w:spacing w:before="120" w:after="120"/>
              <w:jc w:val="center"/>
              <w:rPr>
                <w:sz w:val="22"/>
                <w:szCs w:val="22"/>
              </w:rPr>
            </w:pPr>
          </w:p>
        </w:tc>
        <w:tc>
          <w:tcPr>
            <w:tcW w:w="1243" w:type="dxa"/>
          </w:tcPr>
          <w:p w:rsidR="002E3642" w:rsidRPr="008B58CD" w:rsidRDefault="002E3642" w:rsidP="002E3642"/>
        </w:tc>
        <w:tc>
          <w:tcPr>
            <w:tcW w:w="885" w:type="dxa"/>
          </w:tcPr>
          <w:p w:rsidR="002E3642" w:rsidRPr="00B411BE" w:rsidRDefault="002E3642" w:rsidP="002E3642">
            <w:pPr>
              <w:spacing w:before="120" w:after="120"/>
              <w:rPr>
                <w:b/>
                <w:sz w:val="22"/>
                <w:szCs w:val="22"/>
              </w:rPr>
            </w:pPr>
          </w:p>
        </w:tc>
        <w:tc>
          <w:tcPr>
            <w:tcW w:w="905" w:type="dxa"/>
          </w:tcPr>
          <w:p w:rsidR="002E3642" w:rsidRPr="00B411BE" w:rsidRDefault="002E3642" w:rsidP="002E3642">
            <w:pPr>
              <w:spacing w:before="120" w:after="120"/>
              <w:rPr>
                <w:sz w:val="22"/>
                <w:szCs w:val="22"/>
              </w:rPr>
            </w:pPr>
          </w:p>
        </w:tc>
        <w:tc>
          <w:tcPr>
            <w:tcW w:w="955" w:type="dxa"/>
          </w:tcPr>
          <w:p w:rsidR="002E3642" w:rsidRPr="00B411BE" w:rsidRDefault="002E3642" w:rsidP="002E3642">
            <w:pPr>
              <w:spacing w:before="120" w:after="120"/>
              <w:rPr>
                <w:sz w:val="22"/>
                <w:szCs w:val="22"/>
              </w:rPr>
            </w:pPr>
            <w:r w:rsidRPr="00B411BE">
              <w:rPr>
                <w:i/>
                <w:sz w:val="22"/>
                <w:szCs w:val="22"/>
              </w:rPr>
              <w:t>Đính kèm phụ lục</w:t>
            </w:r>
          </w:p>
        </w:tc>
        <w:tc>
          <w:tcPr>
            <w:tcW w:w="957" w:type="dxa"/>
          </w:tcPr>
          <w:p w:rsidR="002E3642" w:rsidRPr="00B411BE" w:rsidRDefault="002E3642" w:rsidP="002E3642">
            <w:pPr>
              <w:spacing w:before="120" w:after="120"/>
              <w:rPr>
                <w:b/>
                <w:sz w:val="22"/>
                <w:szCs w:val="22"/>
              </w:rPr>
            </w:pPr>
          </w:p>
        </w:tc>
        <w:tc>
          <w:tcPr>
            <w:tcW w:w="813" w:type="dxa"/>
          </w:tcPr>
          <w:p w:rsidR="002E3642" w:rsidRPr="00B411BE" w:rsidRDefault="002E3642" w:rsidP="002E3642">
            <w:pPr>
              <w:spacing w:before="120" w:after="120"/>
              <w:rPr>
                <w:b/>
                <w:sz w:val="22"/>
                <w:szCs w:val="22"/>
              </w:rPr>
            </w:pPr>
          </w:p>
        </w:tc>
        <w:tc>
          <w:tcPr>
            <w:tcW w:w="532" w:type="dxa"/>
            <w:vAlign w:val="center"/>
          </w:tcPr>
          <w:p w:rsidR="002E3642" w:rsidRPr="00B411BE" w:rsidRDefault="002E3642" w:rsidP="002E3642">
            <w:pPr>
              <w:spacing w:before="120" w:after="120"/>
              <w:jc w:val="center"/>
              <w:rPr>
                <w:sz w:val="22"/>
                <w:szCs w:val="22"/>
              </w:rPr>
            </w:pPr>
          </w:p>
        </w:tc>
        <w:tc>
          <w:tcPr>
            <w:tcW w:w="628" w:type="dxa"/>
            <w:vAlign w:val="center"/>
          </w:tcPr>
          <w:p w:rsidR="002E3642" w:rsidRPr="00B411BE" w:rsidRDefault="002E3642" w:rsidP="002E3642">
            <w:pPr>
              <w:spacing w:before="120" w:after="120"/>
              <w:jc w:val="center"/>
              <w:rPr>
                <w:sz w:val="22"/>
                <w:szCs w:val="22"/>
              </w:rPr>
            </w:pPr>
          </w:p>
        </w:tc>
        <w:tc>
          <w:tcPr>
            <w:tcW w:w="869" w:type="dxa"/>
          </w:tcPr>
          <w:p w:rsidR="002E3642" w:rsidRPr="00B411BE" w:rsidRDefault="002E3642" w:rsidP="002E3642">
            <w:pPr>
              <w:spacing w:before="120" w:after="120"/>
              <w:rPr>
                <w:b/>
                <w:sz w:val="22"/>
                <w:szCs w:val="22"/>
              </w:rPr>
            </w:pPr>
          </w:p>
        </w:tc>
        <w:tc>
          <w:tcPr>
            <w:tcW w:w="897" w:type="dxa"/>
          </w:tcPr>
          <w:p w:rsidR="002E3642" w:rsidRPr="00B411BE" w:rsidRDefault="002E3642" w:rsidP="002E3642">
            <w:pPr>
              <w:spacing w:before="120" w:after="120"/>
              <w:rPr>
                <w:b/>
                <w:sz w:val="22"/>
                <w:szCs w:val="22"/>
              </w:rPr>
            </w:pPr>
          </w:p>
        </w:tc>
        <w:tc>
          <w:tcPr>
            <w:tcW w:w="1056" w:type="dxa"/>
          </w:tcPr>
          <w:p w:rsidR="002E3642" w:rsidRPr="00B411BE" w:rsidRDefault="002E3642" w:rsidP="002E3642">
            <w:pPr>
              <w:spacing w:before="120" w:after="120"/>
              <w:rPr>
                <w:b/>
                <w:sz w:val="22"/>
                <w:szCs w:val="22"/>
              </w:rPr>
            </w:pPr>
          </w:p>
        </w:tc>
        <w:tc>
          <w:tcPr>
            <w:tcW w:w="1137" w:type="dxa"/>
          </w:tcPr>
          <w:p w:rsidR="002E3642" w:rsidRDefault="002E3642" w:rsidP="002E3642">
            <w:pPr>
              <w:spacing w:before="120" w:after="120"/>
              <w:rPr>
                <w:b/>
                <w:sz w:val="22"/>
                <w:szCs w:val="22"/>
              </w:rPr>
            </w:pPr>
          </w:p>
        </w:tc>
        <w:tc>
          <w:tcPr>
            <w:tcW w:w="1174" w:type="dxa"/>
          </w:tcPr>
          <w:p w:rsidR="002E3642" w:rsidRDefault="002E3642" w:rsidP="002E3642">
            <w:pPr>
              <w:spacing w:before="120" w:after="120"/>
              <w:rPr>
                <w:b/>
                <w:sz w:val="22"/>
                <w:szCs w:val="22"/>
              </w:rPr>
            </w:pPr>
          </w:p>
        </w:tc>
        <w:tc>
          <w:tcPr>
            <w:tcW w:w="955" w:type="dxa"/>
          </w:tcPr>
          <w:p w:rsidR="002E3642" w:rsidRDefault="002E3642" w:rsidP="002E3642">
            <w:pPr>
              <w:spacing w:before="120" w:after="120"/>
              <w:rPr>
                <w:b/>
                <w:sz w:val="22"/>
                <w:szCs w:val="22"/>
              </w:rPr>
            </w:pPr>
          </w:p>
        </w:tc>
        <w:tc>
          <w:tcPr>
            <w:tcW w:w="798" w:type="dxa"/>
          </w:tcPr>
          <w:p w:rsidR="002E3642" w:rsidRDefault="002E3642" w:rsidP="002E3642">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bookmarkStart w:id="0" w:name="_GoBack"/>
      <w:bookmarkEnd w:id="0"/>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382ECB" w:rsidRDefault="00382ECB" w:rsidP="005F12B6">
      <w:pPr>
        <w:tabs>
          <w:tab w:val="left" w:pos="3216"/>
        </w:tabs>
        <w:rPr>
          <w:sz w:val="26"/>
          <w:szCs w:val="26"/>
        </w:rPr>
      </w:pPr>
    </w:p>
    <w:p w:rsidR="00382ECB" w:rsidRDefault="00382ECB" w:rsidP="005F12B6">
      <w:pPr>
        <w:tabs>
          <w:tab w:val="left" w:pos="3216"/>
        </w:tabs>
        <w:rPr>
          <w:sz w:val="26"/>
          <w:szCs w:val="26"/>
        </w:rPr>
      </w:pPr>
    </w:p>
    <w:p w:rsidR="00382ECB" w:rsidRDefault="00382ECB" w:rsidP="005F12B6">
      <w:pPr>
        <w:tabs>
          <w:tab w:val="left" w:pos="3216"/>
        </w:tabs>
        <w:rPr>
          <w:sz w:val="26"/>
          <w:szCs w:val="26"/>
        </w:rPr>
      </w:pPr>
    </w:p>
    <w:p w:rsidR="00347849" w:rsidRPr="005F12B6" w:rsidRDefault="005F12B6" w:rsidP="005F12B6">
      <w:pPr>
        <w:rPr>
          <w:sz w:val="26"/>
          <w:szCs w:val="26"/>
        </w:rPr>
      </w:pPr>
      <w:r>
        <w:rPr>
          <w:sz w:val="26"/>
          <w:szCs w:val="26"/>
        </w:rPr>
        <w:tab/>
      </w:r>
      <w:r w:rsidR="00347849" w:rsidRPr="00347849">
        <w:rPr>
          <w:b/>
          <w:sz w:val="26"/>
          <w:szCs w:val="26"/>
          <w:shd w:val="clear" w:color="auto" w:fill="FFFFFF"/>
        </w:rPr>
        <w:t>Ghi chú:</w:t>
      </w:r>
    </w:p>
    <w:p w:rsidR="00347849" w:rsidRPr="00347849" w:rsidRDefault="00347849" w:rsidP="00382ECB">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lastRenderedPageBreak/>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82ECB" w:rsidP="00347849">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Thời hạn bảo hành</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15" w:rsidRDefault="00FC4115">
      <w:r>
        <w:separator/>
      </w:r>
    </w:p>
  </w:endnote>
  <w:endnote w:type="continuationSeparator" w:id="0">
    <w:p w:rsidR="00FC4115" w:rsidRDefault="00FC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15" w:rsidRDefault="00FC4115">
      <w:r>
        <w:separator/>
      </w:r>
    </w:p>
  </w:footnote>
  <w:footnote w:type="continuationSeparator" w:id="0">
    <w:p w:rsidR="00FC4115" w:rsidRDefault="00FC4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122875"/>
    <w:rsid w:val="00124ADF"/>
    <w:rsid w:val="00145C44"/>
    <w:rsid w:val="0015096D"/>
    <w:rsid w:val="0018511B"/>
    <w:rsid w:val="001B3374"/>
    <w:rsid w:val="001C2547"/>
    <w:rsid w:val="002776D4"/>
    <w:rsid w:val="002E3642"/>
    <w:rsid w:val="00347849"/>
    <w:rsid w:val="00382ECB"/>
    <w:rsid w:val="003A18A5"/>
    <w:rsid w:val="003B4AE2"/>
    <w:rsid w:val="003D52D6"/>
    <w:rsid w:val="004929B8"/>
    <w:rsid w:val="004C6D1E"/>
    <w:rsid w:val="004F19D3"/>
    <w:rsid w:val="00504699"/>
    <w:rsid w:val="005A4BEF"/>
    <w:rsid w:val="005D3C36"/>
    <w:rsid w:val="005E791C"/>
    <w:rsid w:val="005F12B6"/>
    <w:rsid w:val="00612CCE"/>
    <w:rsid w:val="006437EA"/>
    <w:rsid w:val="00684C08"/>
    <w:rsid w:val="007C3B0E"/>
    <w:rsid w:val="00835640"/>
    <w:rsid w:val="00864C74"/>
    <w:rsid w:val="008B58CD"/>
    <w:rsid w:val="008F4100"/>
    <w:rsid w:val="009C4681"/>
    <w:rsid w:val="00A57744"/>
    <w:rsid w:val="00A6141D"/>
    <w:rsid w:val="00A71D12"/>
    <w:rsid w:val="00A86B99"/>
    <w:rsid w:val="00AC020D"/>
    <w:rsid w:val="00B301AB"/>
    <w:rsid w:val="00B37836"/>
    <w:rsid w:val="00B411BE"/>
    <w:rsid w:val="00B63D5C"/>
    <w:rsid w:val="00BB265E"/>
    <w:rsid w:val="00BB5165"/>
    <w:rsid w:val="00BC6C3A"/>
    <w:rsid w:val="00C24B78"/>
    <w:rsid w:val="00C87ED8"/>
    <w:rsid w:val="00CB4A6E"/>
    <w:rsid w:val="00F55E21"/>
    <w:rsid w:val="00F63B01"/>
    <w:rsid w:val="00FB0EC0"/>
    <w:rsid w:val="00FC41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3F5A4B1-183F-4E2E-9B29-50F02E26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53</cp:revision>
  <cp:lastPrinted>2026-01-21T08:27:00Z</cp:lastPrinted>
  <dcterms:created xsi:type="dcterms:W3CDTF">2022-10-08T04:38:00Z</dcterms:created>
  <dcterms:modified xsi:type="dcterms:W3CDTF">2026-01-27T09:43:00Z</dcterms:modified>
</cp:coreProperties>
</file>